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69" w:rsidRDefault="00B23E69" w:rsidP="00B23E69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Reikalavimų švietimo įstaigos (išskyrus aukštąją mokyklą) vadovo metų veiklos ataskaitai </w:t>
      </w:r>
    </w:p>
    <w:p w:rsidR="00B23E69" w:rsidRDefault="00B23E69" w:rsidP="00B23E69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ar-SA"/>
        </w:rPr>
      </w:pPr>
      <w:r>
        <w:rPr>
          <w:rFonts w:ascii="Times New Roman" w:hAnsi="Times New Roman"/>
          <w:sz w:val="24"/>
          <w:szCs w:val="24"/>
          <w:lang w:val="lt-LT" w:eastAsia="ar-SA"/>
        </w:rPr>
        <w:t>priedas</w:t>
      </w:r>
    </w:p>
    <w:p w:rsidR="00B23E69" w:rsidRDefault="00B23E69" w:rsidP="00B23E69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B23E69" w:rsidRDefault="00B23E69" w:rsidP="00B23E69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Raseinių r. Ariogalos gimnazija</w:t>
      </w:r>
    </w:p>
    <w:p w:rsidR="00B23E69" w:rsidRDefault="00B23E69" w:rsidP="00B23E69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pavadinimas)</w:t>
      </w:r>
    </w:p>
    <w:p w:rsidR="00B23E69" w:rsidRDefault="00B23E69" w:rsidP="00B23E69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Direktorius Arvydas Stankus</w:t>
      </w:r>
    </w:p>
    <w:p w:rsidR="00B23E69" w:rsidRDefault="00B23E69" w:rsidP="00B23E69">
      <w:pPr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vadovo vardas ir pavardė)</w:t>
      </w:r>
    </w:p>
    <w:p w:rsidR="00B23E69" w:rsidRDefault="00B23E69" w:rsidP="00B23E69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B23E69" w:rsidRDefault="00B23E69" w:rsidP="00B23E69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B23E69" w:rsidRDefault="00B23E69" w:rsidP="00B23E69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B23E69" w:rsidRDefault="00B23E69" w:rsidP="00B23E69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2020-01-23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Nr. ________ </w:t>
      </w:r>
    </w:p>
    <w:p w:rsidR="00B23E69" w:rsidRDefault="00B23E69" w:rsidP="00B23E69">
      <w:pPr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(data)</w:t>
      </w:r>
    </w:p>
    <w:p w:rsidR="00B23E69" w:rsidRDefault="00B23E69" w:rsidP="00B23E69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Raseiniai</w:t>
      </w:r>
    </w:p>
    <w:p w:rsidR="00B23E69" w:rsidRDefault="00B23E69" w:rsidP="00B23E69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(sudarymo vieta)</w:t>
      </w:r>
    </w:p>
    <w:p w:rsidR="00B23E69" w:rsidRDefault="00B23E69" w:rsidP="00B23E69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B23E69" w:rsidRDefault="00B23E69" w:rsidP="00B23E69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B23E69" w:rsidRDefault="00B23E69" w:rsidP="00B23E69">
      <w:pPr>
        <w:jc w:val="center"/>
        <w:rPr>
          <w:rFonts w:ascii="Times New Roman" w:hAnsi="Times New Roman"/>
          <w:b/>
          <w:sz w:val="24"/>
          <w:lang w:val="lt-LT" w:eastAsia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23E69" w:rsidTr="00B23E69">
        <w:trPr>
          <w:trHeight w:val="169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Raseinių r. Ariogalos gimnazija 2019 metais minėjo mokyklos 75 metų jubiliejų ir visas veiklas skyrė jubiliejiniams metams pažymėti. Naujame gimnazijos strateginiame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2019–2021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2019 metų veiklos plane ir toliau siekiama telkti gimnazijos bendruomenę nuolat siekti kokybiško ir šiuolaikiško mokymo(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) veiksmingumo. Ugdymo procese buvo nuolat vykdomas mokinių asmeninės pažangos fiksavimas ir analizė. Visi dalykų mokytojai dalyvavo kas mėnesį rengiamuose klasių vadovų susirinkimuose, aptarė kiekvieno mokinio pažangą, analizavo iškylančius mokymosi sunkumus.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teikiamas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nuolatinis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grįžtamasis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ryšys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paskatino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pasiekimų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pažangą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1–IV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padariusių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individualią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dalykinę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pažangą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m. – 67 % (2018 m. – 62,4 %,).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Mokinių pažanga 100 proc. buvo fiksuojama mokytojų asmeniniuose užrašuose,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Tamo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dienyne, pažangos fiksavimo Excel lentelėje. Per pusmetį klasėje padarę didžiausią pažangą mokiniai apdovanojami jų pažangą liudijančiais sertifikatais.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atostogas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tėvai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kviečiami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dalyvauti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pažangos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aptarimuose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3E69" w:rsidRDefault="00B23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Konsultavosi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(proc.):</w:t>
            </w:r>
          </w:p>
          <w:tbl>
            <w:tblPr>
              <w:tblStyle w:val="Lentelstinklelis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24"/>
              <w:gridCol w:w="3124"/>
              <w:gridCol w:w="3125"/>
            </w:tblGrid>
            <w:tr w:rsidR="00B23E69"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E69" w:rsidRDefault="00B23E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Klasės</w:t>
                  </w:r>
                  <w:proofErr w:type="spellEnd"/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E69" w:rsidRDefault="00B23E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 m.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E69" w:rsidRDefault="00B23E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 m.</w:t>
                  </w:r>
                </w:p>
              </w:tc>
            </w:tr>
            <w:tr w:rsidR="00B23E69"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E69" w:rsidRDefault="00B23E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E69" w:rsidRDefault="00B23E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87,0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E69" w:rsidRDefault="00B23E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89,2</w:t>
                  </w:r>
                </w:p>
              </w:tc>
            </w:tr>
            <w:tr w:rsidR="00B23E69"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E69" w:rsidRDefault="00B23E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E69" w:rsidRDefault="00B23E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81,3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E69" w:rsidRDefault="00B23E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78,3</w:t>
                  </w:r>
                </w:p>
              </w:tc>
            </w:tr>
            <w:tr w:rsidR="00B23E69"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E69" w:rsidRDefault="00B23E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E69" w:rsidRDefault="00B23E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53,6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E69" w:rsidRDefault="00B23E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54,6</w:t>
                  </w:r>
                </w:p>
              </w:tc>
            </w:tr>
          </w:tbl>
          <w:p w:rsidR="00B23E69" w:rsidRDefault="00B23E69">
            <w:pPr>
              <w:ind w:firstLine="58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85 proc. mokytojų pamokose taikė mokymo mokytis strategiją, aktyvaus mokymosi strategiją ir aktyvaus mokymosi metodus akcentuojant grįžtamąjį ryšį, kritinį mąstymą. Dvi dienas pavėlintas mokinių išvežimas į namus – sudarytos visiems mokiniams vienodos sąlygos lankyti konsultacijas ir neformaliojo švietimo būrelius, nepriklausomai nuo gyvenamos vietovės. 100 proc. mokytojų ir administracija dalyvavo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lt-LT"/>
              </w:rPr>
              <w:t>mokymuose „Turizmo renginių vadovų mokymai saugos ir sveikatos klausimais“ ir baigė 8 ak. val. programą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pradinio ugdymo mokiniai ir mokytojai dalyvavo socialinių emocinių kompetencijų</w:t>
            </w:r>
            <w:r>
              <w:rPr>
                <w:rFonts w:ascii="Times New Roman" w:hAnsi="Times New Roman"/>
                <w:lang w:val="lt-LT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programoje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lt-LT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Emocinių kompetencijų plėtotė pradinio ugdymo pakopoje“ panaudojant metodinę priemonę „Pažink, prisijaukink, pamokyk“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Dvi mokytojos dalyvavo tęstiniuose mokymuose „Tiriamoji veikla ugdymo procese“ (baigtos 2 sesijos). Gimnazija su partneriais dalyvauja projekte „Skaitymo laboratorija“ (35616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). Penki mokytojai dalyvavo VBE vertinime. Pagal biologijos VBE rezultatus gimnazija užėmė XXXIII vietą tarp visų Lietuvos gimnazijų ir įtraukta į 50 geriausiųjų gimnazijų sąrašą.</w:t>
            </w:r>
          </w:p>
          <w:p w:rsidR="00B23E69" w:rsidRDefault="00B23E69">
            <w:pPr>
              <w:ind w:firstLine="589"/>
              <w:jc w:val="both"/>
              <w:rPr>
                <w:rFonts w:ascii="Sylfaen" w:hAnsi="Sylfae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Gimnazijos bendruomenė siekia stiprinti savitos gimnazijos kultūros kūrimą. Gimnazijos taryba organizuoja tradicinę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adventinę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popietę klasių tėvų savivaldos nariams, mokytojams,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personalui, socialiniams partneriams. Renginį finansuoja tėvų klubas „Santaka“. Visos bendruomenės pastangomis parengta gimnazijos 75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metų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paminėjimo šventės renginių programa. Parengtas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>Erasmus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 xml:space="preserve"> + KA2 (strateginė partnerystė) projektas pateiktas vertinimo agentūrai.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Bendruomenė dalyvavo seminare „LIONS QUEST programos „Paauglystės kryžkelės“ įgyvendinimas mokykloje“. Baigta įdiegti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Sąjungos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fondų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investicijų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Lietuvoje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Saugios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mokykloje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09.2.2-ESFA-V-729-03-0001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LIONS QUEST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emocinio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ženklas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23E69" w:rsidRDefault="00B23E69" w:rsidP="00B23E69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B23E69" w:rsidRDefault="00B23E69" w:rsidP="00B23E69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B23E69" w:rsidRDefault="00B23E69" w:rsidP="00B23E69">
      <w:pPr>
        <w:tabs>
          <w:tab w:val="left" w:pos="284"/>
          <w:tab w:val="left" w:pos="851"/>
        </w:tabs>
        <w:spacing w:line="360" w:lineRule="auto"/>
        <w:rPr>
          <w:rFonts w:ascii="Times New Roman" w:hAnsi="Times New Roman"/>
          <w:b/>
          <w:sz w:val="24"/>
          <w:szCs w:val="24"/>
          <w:lang w:val="lt-LT" w:eastAsia="lt-LT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lt-LT" w:eastAsia="lt-LT"/>
        </w:rPr>
        <w:t>Pagrindiniai praėjusių metų veiklos rezultatai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129"/>
        <w:gridCol w:w="3009"/>
        <w:gridCol w:w="2123"/>
      </w:tblGrid>
      <w:tr w:rsidR="00B23E69" w:rsidTr="00B23E6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B23E69" w:rsidTr="00B23E6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 w:rsidP="006863FD">
            <w:pPr>
              <w:pStyle w:val="Sraopastraipa"/>
              <w:numPr>
                <w:ilvl w:val="1"/>
                <w:numId w:val="1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Įgyvendinti LR Darbo kodekso ir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etatinio apmokėjimo už darbą tvarkos nuostatas.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Parengti teisės aktus, aprašus, tvarkas, reglamentuojančius darbuotojų darbo santykius.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IV ketvirtyje parengti  visi reikiami teisės aktai,  tvarkos, aprašai, reglamentuojantys darbuotojų darbo santykius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etatinio apmokėjimo už darbą tvarkos sistema,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mokytojų pareigybės aprašas ir kt.).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Parengta etatinio apmokėjimo už darbą tvarkos sistema (1vnt.); 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Mokytojų pareigybės aprašas (52 vnt.) ir kt.</w:t>
            </w:r>
          </w:p>
        </w:tc>
      </w:tr>
      <w:tr w:rsidR="00B23E69" w:rsidTr="00B23E6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 w:rsidP="006863FD">
            <w:pPr>
              <w:pStyle w:val="Sraopastraipa"/>
              <w:numPr>
                <w:ilvl w:val="1"/>
                <w:numId w:val="1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efektyvų finansinių ir materialinių išteklių valdymą.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Kiekvieną ketvirtį  išanalizuoti įstaigai skirtų asignavimų vykdymą ir, reikalui esant, kreiptis į rajono Savivaldybės tarybą dėl lėšų perskirstymo.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Paskirtos įstaigai lėšos naudotos efektyviai, neviršijant 2019 m. įstaigai patvirtintų asignavimų.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2019 m. paskirtos lėšos: </w:t>
            </w:r>
          </w:p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MK-826600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    SF-315900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naudotos efektyviai ir neviršyti gimnazijai patvirtinti asignavimai.</w:t>
            </w:r>
          </w:p>
        </w:tc>
      </w:tr>
      <w:tr w:rsidR="00B23E69" w:rsidTr="00B23E6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 w:rsidP="006863FD">
            <w:pPr>
              <w:pStyle w:val="Sraopastraipa"/>
              <w:numPr>
                <w:ilvl w:val="1"/>
                <w:numId w:val="1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Parengti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Raseinių r. Ariogalos gimnazijos 2019–2021 metų strateginį planą.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Sudaryti darbo grupę ir parengti dokumentą.</w:t>
            </w:r>
          </w:p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 ketvirtyje patvirtintas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Raseinių r. Ariogalos gimnazijos 2019–2021 metų strateginis planas.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Įsipareigotu laiku parengtas, patvirtintas ir įgyvendinamas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Raseinių r. Ariogalos gimnazijos 2019–2021 metų strateginis planas.</w:t>
            </w:r>
          </w:p>
        </w:tc>
      </w:tr>
      <w:tr w:rsidR="00B23E69" w:rsidTr="00B23E6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 w:rsidP="006863FD">
            <w:pPr>
              <w:pStyle w:val="Sraopastraipa"/>
              <w:numPr>
                <w:ilvl w:val="1"/>
                <w:numId w:val="1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 xml:space="preserve">Užbaigti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>Erasmus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 xml:space="preserve"> + KA2 (strateginė partnerystė) projektą „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>Bullying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>free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>minds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>“.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>Pateikti  tarptautinio projekto galutinę ataskaitą Švietimo mainų paramos fondui.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II ketvirtyje pateikta tarptautinio projekto įgyvendinimo ataskaita ir IV ketvirtyje iš agentūros gautas 4708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finansavimas.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Projekto turinio vertinimo rezultatas 60 balų ir gautas visas numatytas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 xml:space="preserve">23540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finansavimas.</w:t>
            </w:r>
          </w:p>
        </w:tc>
      </w:tr>
      <w:tr w:rsidR="00B23E69" w:rsidTr="00B23E6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 w:rsidP="006863FD">
            <w:pPr>
              <w:pStyle w:val="Sraopastraipa"/>
              <w:numPr>
                <w:ilvl w:val="1"/>
                <w:numId w:val="1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Įgyvendinti mokyklos 75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metų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įkūrimo šventės  programą.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Parengti mokyklos 75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metų įkūrimo šventės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programą ir numatytoms veikloms surasti finansavimo būdus ir lėšas.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 gimnazijos savininku, bendruomene ir socialiniais partneriais įgyvendinta programa ir iš paramos davėjų gauta ne mažiau 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lėšų.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Šventė įvyko 2019-06-15 Dubysos slėnyje. Dalyvavo  virš 3000 mokyklos alumnų. Su gimnazijos savininku, bendruomene ir socialiniais partneriais įgyvendinta programa ir iš paramos davėjų gauta 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lėšų.</w:t>
            </w:r>
          </w:p>
        </w:tc>
      </w:tr>
    </w:tbl>
    <w:p w:rsidR="00B23E69" w:rsidRDefault="00B23E69" w:rsidP="00B23E69">
      <w:pPr>
        <w:jc w:val="center"/>
        <w:rPr>
          <w:rFonts w:ascii="Times New Roman" w:hAnsi="Times New Roman"/>
          <w:sz w:val="24"/>
          <w:lang w:val="lt-LT" w:eastAsia="lt-LT"/>
        </w:rPr>
      </w:pPr>
    </w:p>
    <w:p w:rsidR="00B23E69" w:rsidRDefault="00B23E69" w:rsidP="00B23E69">
      <w:pPr>
        <w:rPr>
          <w:rFonts w:ascii="Times New Roman" w:hAnsi="Times New Roman"/>
          <w:sz w:val="24"/>
          <w:lang w:val="lt-LT"/>
        </w:rPr>
      </w:pPr>
    </w:p>
    <w:p w:rsidR="00B23E69" w:rsidRDefault="00B23E69" w:rsidP="00B23E69">
      <w:pPr>
        <w:tabs>
          <w:tab w:val="left" w:pos="284"/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Užduotys ar veiklos, kurios nebuvo planuotos ir nustatytos, bet įvykdytos</w:t>
      </w:r>
    </w:p>
    <w:p w:rsidR="00B23E69" w:rsidRDefault="00B23E69" w:rsidP="00B23E6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4834"/>
      </w:tblGrid>
      <w:tr w:rsidR="00B23E69" w:rsidTr="00B23E69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B23E69" w:rsidTr="00B23E69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widowControl w:val="0"/>
              <w:tabs>
                <w:tab w:val="left" w:pos="1276"/>
              </w:tabs>
              <w:overflowPunct/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Raseinių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Ilgižių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mokyklos-daugiafunkcio centro reorganizavimas prijungiant prie dalyvaujančios reorganizavime Raseinių r. Ariogalos gimnazijos.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Patvirtinti naujos redakcijos gimnazijos nuostatai su struktūriniu padaliniu, pertvarkytas ugdymo procesas ir valdymas. Po reorganizacijos 2020-01-01 mokinių skaičius pasiekė 600, darbuotojų ir pedagogų etatų 96,25.</w:t>
            </w:r>
          </w:p>
        </w:tc>
      </w:tr>
    </w:tbl>
    <w:p w:rsidR="00B23E69" w:rsidRDefault="00B23E69" w:rsidP="00B23E69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Kompetencijos, kurias norėtų tobulinti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23E69" w:rsidTr="00B23E6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 Švietimo įstaigos partnerystės ir bendradarbiavimo kompetencija.</w:t>
            </w:r>
          </w:p>
        </w:tc>
      </w:tr>
      <w:tr w:rsidR="00B23E69" w:rsidTr="00B23E6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6.2. Proceso, išteklių valdymo kompetencija: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etatinio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apmokėjimo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darbą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tvarkos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pakeitimai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2020-09-01.</w:t>
            </w:r>
          </w:p>
        </w:tc>
      </w:tr>
    </w:tbl>
    <w:p w:rsidR="00B23E69" w:rsidRDefault="00B23E69" w:rsidP="00B23E69">
      <w:pPr>
        <w:rPr>
          <w:rFonts w:ascii="Times New Roman" w:hAnsi="Times New Roman"/>
          <w:b/>
          <w:sz w:val="24"/>
          <w:lang w:val="lt-LT" w:eastAsia="lt-LT"/>
        </w:rPr>
      </w:pPr>
    </w:p>
    <w:p w:rsidR="00B23E69" w:rsidRPr="00B23E69" w:rsidRDefault="00B23E69" w:rsidP="00B23E69">
      <w:pPr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2979"/>
        <w:gridCol w:w="3545"/>
      </w:tblGrid>
      <w:tr w:rsidR="00B23E69" w:rsidTr="00B23E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69" w:rsidRDefault="00B2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B23E69" w:rsidTr="00B23E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9.1. Dalyvauti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Raseinių savivaldybės pokyčio projekto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Patyriminis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 xml:space="preserve"> ugdymas. Augdamas Atsakingai Auginu“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veiklos plano priemonėse.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Astovausiu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gimnaziją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Lyderių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3“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savivaldybės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pokyčių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komandoje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Suburta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Lyderių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gimnazijos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pokyčio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įgyvendinti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Suorganizuotos 2 išvykos į Kauno STEAM centrą (2-3 klasės),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geroji patirtis aptarta metodinėse grupėse ir taikoma pamokose.</w:t>
            </w:r>
          </w:p>
        </w:tc>
      </w:tr>
      <w:tr w:rsidR="00B23E69" w:rsidTr="00B23E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9.2.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Gerinti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mokinių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ugdymo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pasiekimus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Sieksiu aukštesnių mokinių VBE pasiekimų bei tobulinsiu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individualią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pažangos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stebėseną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3-4 VBE mokinių pasiekimų vidurkis aukštesnis už šalies vidurkį bei atnaujintas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individualios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pažangos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stebėsenos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tvarkos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aprašas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E69" w:rsidTr="00B23E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9.3. Teikti paraišką ir dalyvauti NŠA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projekto „Bendrojo ugdymo tyrimų, vertinimo ir stebėsenos sistemos plėtra: mokinių pasiekimų vertinimas“ (Nr. 09.2.1-ESFA-V-706-02-0001).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Organizuosiu Projekto 1.1. veiklą „Individualios mokinių pasiekimų stebėsenos sistemos vystymas ir instrumentų kaupiamojo vertinimo diegimui kūrimas“.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Ne mažiau 30 gimnazijos mokinių, atrinktų NŠA, dalyvaus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respublikos 4, 6 ir 8 klasių mokiniams skirtų meninio ir technologinio (DMT) ugdymo pasiekimų vertinimo įrankių kūrime.</w:t>
            </w:r>
          </w:p>
        </w:tc>
      </w:tr>
      <w:tr w:rsidR="00B23E69" w:rsidTr="00B23E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9.4.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Stiprinti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prevencinę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veiklą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siekiant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užtikrinti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mokinių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saugumą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Bendradarbiaujant su mokinių tėvais ir socialiniais partneriais inicijuosiu pokalbius, diskusijas ir seminarus prevencinės veiklos srityje bei bendrąjį civilinės atsakomybės draudimą.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Įvyks 3-4 renginiai prevencinės veiklos tema ir bus pasirašytas bendrosios civilinės atsakomybės draudimo liudijimas.</w:t>
            </w:r>
          </w:p>
        </w:tc>
      </w:tr>
      <w:tr w:rsidR="00B23E69" w:rsidTr="00B23E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9.5.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Efektyvinti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dokumentų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valdymą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mokykloje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Inicijuosiu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tvarkymą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elektroninę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sistemą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KONTORA.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69" w:rsidRDefault="00B23E6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Pradėta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taikyti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KONTORA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tvarkyti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savivaldybės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administracijai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skirtų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siuntimas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sistemą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23E69" w:rsidRDefault="00B23E69" w:rsidP="00B23E69">
      <w:pPr>
        <w:rPr>
          <w:rFonts w:ascii="Times New Roman" w:hAnsi="Times New Roman"/>
          <w:sz w:val="24"/>
          <w:szCs w:val="24"/>
          <w:lang w:val="lt-LT"/>
        </w:rPr>
      </w:pPr>
    </w:p>
    <w:p w:rsidR="00B024D1" w:rsidRDefault="00B024D1"/>
    <w:sectPr w:rsidR="00B024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F38FF"/>
    <w:multiLevelType w:val="multilevel"/>
    <w:tmpl w:val="9A0A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69"/>
    <w:rsid w:val="00B024D1"/>
    <w:rsid w:val="00B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BB14"/>
  <w15:chartTrackingRefBased/>
  <w15:docId w15:val="{006FC65C-F227-4162-998D-586202F5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3E69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3E6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23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5557</Words>
  <Characters>3169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2020-03-02T12:19:00Z</dcterms:created>
  <dcterms:modified xsi:type="dcterms:W3CDTF">2020-03-02T12:26:00Z</dcterms:modified>
</cp:coreProperties>
</file>